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CC" w:rsidRPr="007F00CC" w:rsidRDefault="007F00CC" w:rsidP="007F0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0CC">
        <w:rPr>
          <w:rFonts w:ascii="Times New Roman" w:hAnsi="Times New Roman" w:cs="Times New Roman"/>
          <w:sz w:val="24"/>
          <w:szCs w:val="24"/>
        </w:rPr>
        <w:t>УСЛОВИЯ ФИНАНСИРОВАНИЯ ИНВЕСТИЦИОННЫХ ПРОЕКТОВ РЕЗИДЕНТОВ ТОСЭР, КОМПАНИЙ, УЧАСТВУЮЩИХ В РЕАЛИЗАЦИИ ПРОЕКТОВ РАЗВИТИЯ  Г. КОМСОМОЛЬСКА-НА-АМУРЕ, СУБЪЕКТОВ КРУПНОГО БИЗНЕСА И МСП</w:t>
      </w:r>
    </w:p>
    <w:p w:rsidR="007F00CC" w:rsidRPr="00D47303" w:rsidRDefault="007F00CC" w:rsidP="007F0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03">
        <w:rPr>
          <w:rFonts w:ascii="Times New Roman" w:hAnsi="Times New Roman" w:cs="Times New Roman"/>
          <w:b/>
          <w:sz w:val="24"/>
          <w:szCs w:val="24"/>
        </w:rPr>
        <w:t>Дальневосточный филиал ПАО РОСБАНК</w:t>
      </w:r>
    </w:p>
    <w:p w:rsidR="007F00CC" w:rsidRDefault="007F00CC" w:rsidP="007F00CC">
      <w:pPr>
        <w:rPr>
          <w:rFonts w:ascii="Times New Roman" w:hAnsi="Times New Roman" w:cs="Times New Roman"/>
          <w:sz w:val="24"/>
          <w:szCs w:val="24"/>
        </w:rPr>
      </w:pPr>
      <w:r w:rsidRPr="007F00CC">
        <w:rPr>
          <w:rFonts w:ascii="Times New Roman" w:hAnsi="Times New Roman" w:cs="Times New Roman"/>
          <w:b/>
          <w:sz w:val="24"/>
          <w:szCs w:val="24"/>
        </w:rPr>
        <w:t>Единый телефон:</w:t>
      </w:r>
      <w:r w:rsidRPr="007F00CC">
        <w:rPr>
          <w:rFonts w:ascii="Times New Roman" w:hAnsi="Times New Roman" w:cs="Times New Roman"/>
          <w:sz w:val="24"/>
          <w:szCs w:val="24"/>
        </w:rPr>
        <w:t xml:space="preserve"> 8 800 200 54 34 </w:t>
      </w:r>
    </w:p>
    <w:p w:rsidR="00D47303" w:rsidRDefault="007F00CC" w:rsidP="007F00CC">
      <w:pPr>
        <w:rPr>
          <w:rFonts w:ascii="Times New Roman" w:hAnsi="Times New Roman" w:cs="Times New Roman"/>
          <w:b/>
          <w:sz w:val="24"/>
          <w:szCs w:val="24"/>
        </w:rPr>
      </w:pPr>
      <w:r w:rsidRPr="007F00C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47303" w:rsidRDefault="00D47303" w:rsidP="00D47303">
      <w:pPr>
        <w:rPr>
          <w:rFonts w:ascii="Times New Roman" w:hAnsi="Times New Roman" w:cs="Times New Roman"/>
          <w:sz w:val="24"/>
          <w:szCs w:val="24"/>
        </w:rPr>
      </w:pPr>
      <w:r w:rsidRPr="007F00C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F00C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F00CC">
        <w:rPr>
          <w:rFonts w:ascii="Times New Roman" w:hAnsi="Times New Roman" w:cs="Times New Roman"/>
          <w:sz w:val="24"/>
          <w:szCs w:val="24"/>
        </w:rPr>
        <w:t xml:space="preserve">абаровск, ул. Ким Ю </w:t>
      </w:r>
      <w:proofErr w:type="spellStart"/>
      <w:r w:rsidRPr="007F00CC">
        <w:rPr>
          <w:rFonts w:ascii="Times New Roman" w:hAnsi="Times New Roman" w:cs="Times New Roman"/>
          <w:sz w:val="24"/>
          <w:szCs w:val="24"/>
        </w:rPr>
        <w:t>Чена</w:t>
      </w:r>
      <w:proofErr w:type="spellEnd"/>
      <w:r w:rsidRPr="007F00CC">
        <w:rPr>
          <w:rFonts w:ascii="Times New Roman" w:hAnsi="Times New Roman" w:cs="Times New Roman"/>
          <w:sz w:val="24"/>
          <w:szCs w:val="24"/>
        </w:rPr>
        <w:t>, д. 26</w:t>
      </w:r>
      <w:bookmarkStart w:id="0" w:name="_GoBack"/>
      <w:bookmarkEnd w:id="0"/>
    </w:p>
    <w:p w:rsidR="007F00CC" w:rsidRDefault="007F00CC" w:rsidP="007F00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00CC">
        <w:rPr>
          <w:rFonts w:ascii="Times New Roman" w:hAnsi="Times New Roman" w:cs="Times New Roman"/>
          <w:sz w:val="24"/>
          <w:szCs w:val="24"/>
        </w:rPr>
        <w:t>Бартюк</w:t>
      </w:r>
      <w:proofErr w:type="spellEnd"/>
      <w:r w:rsidRPr="007F00CC">
        <w:rPr>
          <w:rFonts w:ascii="Times New Roman" w:hAnsi="Times New Roman" w:cs="Times New Roman"/>
          <w:sz w:val="24"/>
          <w:szCs w:val="24"/>
        </w:rPr>
        <w:t xml:space="preserve"> Ольга Петровна, Начальник отдела по работе с корпоративными клиентами по Хабаровскому региону Дальневосточного филиала ПАО РОСБАНК; тел.: (4212) 39 69 08, </w:t>
      </w:r>
      <w:proofErr w:type="spellStart"/>
      <w:r w:rsidRPr="007F00CC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7F00CC">
        <w:rPr>
          <w:rFonts w:ascii="Times New Roman" w:hAnsi="Times New Roman" w:cs="Times New Roman"/>
          <w:sz w:val="24"/>
          <w:szCs w:val="24"/>
        </w:rPr>
        <w:t xml:space="preserve">.: 5367; факс: (4212) 32 69 58; e-mail: </w:t>
      </w:r>
      <w:hyperlink r:id="rId4" w:history="1">
        <w:r w:rsidRPr="00F34F28">
          <w:rPr>
            <w:rStyle w:val="a3"/>
            <w:rFonts w:ascii="Times New Roman" w:hAnsi="Times New Roman" w:cs="Times New Roman"/>
            <w:sz w:val="24"/>
            <w:szCs w:val="24"/>
          </w:rPr>
          <w:t>OPBartyuk@dal.rosbank.ru</w:t>
        </w:r>
      </w:hyperlink>
    </w:p>
    <w:p w:rsidR="007F00CC" w:rsidRDefault="00CE7F35" w:rsidP="002B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00CC">
        <w:rPr>
          <w:rFonts w:ascii="Times New Roman" w:hAnsi="Times New Roman" w:cs="Times New Roman"/>
          <w:sz w:val="24"/>
          <w:szCs w:val="24"/>
        </w:rPr>
        <w:t xml:space="preserve">. </w:t>
      </w:r>
      <w:r w:rsidR="007F00CC" w:rsidRPr="007F00CC">
        <w:rPr>
          <w:rFonts w:ascii="Times New Roman" w:hAnsi="Times New Roman" w:cs="Times New Roman"/>
          <w:sz w:val="24"/>
          <w:szCs w:val="24"/>
        </w:rPr>
        <w:t xml:space="preserve">Биробиджан, ул. Ленина,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7F00CC" w:rsidRPr="007F00CC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4"/>
        <w:tblW w:w="0" w:type="auto"/>
        <w:tblLayout w:type="fixed"/>
        <w:tblLook w:val="04A0"/>
      </w:tblPr>
      <w:tblGrid>
        <w:gridCol w:w="3114"/>
        <w:gridCol w:w="2551"/>
        <w:gridCol w:w="2694"/>
        <w:gridCol w:w="6350"/>
      </w:tblGrid>
      <w:tr w:rsidR="007F00CC" w:rsidTr="002B5A1A">
        <w:tc>
          <w:tcPr>
            <w:tcW w:w="3114" w:type="dxa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программ/ продуктов</w:t>
            </w:r>
          </w:p>
        </w:tc>
        <w:tc>
          <w:tcPr>
            <w:tcW w:w="2551" w:type="dxa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b/>
                <w:sz w:val="24"/>
                <w:szCs w:val="24"/>
              </w:rPr>
              <w:t>Сумма финансирования</w:t>
            </w:r>
          </w:p>
        </w:tc>
        <w:tc>
          <w:tcPr>
            <w:tcW w:w="2694" w:type="dxa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</w:p>
        </w:tc>
        <w:tc>
          <w:tcPr>
            <w:tcW w:w="6350" w:type="dxa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b/>
                <w:sz w:val="24"/>
                <w:szCs w:val="24"/>
              </w:rPr>
              <w:t>Другие условия</w:t>
            </w:r>
          </w:p>
        </w:tc>
      </w:tr>
      <w:tr w:rsidR="007F00CC" w:rsidTr="002B5A1A">
        <w:tc>
          <w:tcPr>
            <w:tcW w:w="3114" w:type="dxa"/>
          </w:tcPr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Инвестиционное кредитование (кредитование действующего бизнеса)</w:t>
            </w:r>
          </w:p>
        </w:tc>
        <w:tc>
          <w:tcPr>
            <w:tcW w:w="5245" w:type="dxa"/>
            <w:gridSpan w:val="2"/>
          </w:tcPr>
          <w:p w:rsidR="007F00CC" w:rsidRDefault="007F00CC" w:rsidP="007F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6350" w:type="dxa"/>
          </w:tcPr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Срок – до 5 лет.  Собственные средства – не менее 30%.  Обязательное условие – достаточность доходов от действующего бизнеса для обслуживания кредита.  Обеспечение – залог движимого и недвижимого имущества, поручительство конечного бенефициара; степень покрытия рассматривается индивидуально в зависимости от качества и стоимости объектов залога и финансового состояния Заемщика.  Дополнительное требование – проведение финансовых потоков по расчетным счетам в Банке пропорционально доле участия Банка в кредитно-документарном портфеле Заемщика.</w:t>
            </w:r>
          </w:p>
        </w:tc>
      </w:tr>
      <w:tr w:rsidR="007F00CC" w:rsidTr="002B5A1A">
        <w:tc>
          <w:tcPr>
            <w:tcW w:w="3114" w:type="dxa"/>
          </w:tcPr>
          <w:p w:rsidR="007F00CC" w:rsidRP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 xml:space="preserve">Кредитование резидентов ТОСЭР на пополнение оборотных средств  </w:t>
            </w:r>
          </w:p>
        </w:tc>
        <w:tc>
          <w:tcPr>
            <w:tcW w:w="2551" w:type="dxa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Сумма кредита рассчитывается исходя из финансовых показателей Заемщика</w:t>
            </w:r>
          </w:p>
        </w:tc>
        <w:tc>
          <w:tcPr>
            <w:tcW w:w="2694" w:type="dxa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6350" w:type="dxa"/>
          </w:tcPr>
          <w:p w:rsidR="007F00CC" w:rsidRP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Срок кредитной линии (возобновляемая/</w:t>
            </w:r>
            <w:proofErr w:type="spellStart"/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невозобновляемая</w:t>
            </w:r>
            <w:proofErr w:type="spellEnd"/>
            <w:r w:rsidRPr="007F00CC">
              <w:rPr>
                <w:rFonts w:ascii="Times New Roman" w:hAnsi="Times New Roman" w:cs="Times New Roman"/>
                <w:sz w:val="24"/>
                <w:szCs w:val="24"/>
              </w:rPr>
              <w:t xml:space="preserve">) – до 24 месяцев; срок траншей определяется исходя из длительности товарно-денежного цикла. Обеспечение – в зависимости от уровня финансового состояния; залог недвижимости, оборудования, автотранспорта, прав требования выручки </w:t>
            </w:r>
            <w:r w:rsidRPr="007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контрактам.</w:t>
            </w:r>
          </w:p>
        </w:tc>
      </w:tr>
      <w:tr w:rsidR="007F00CC" w:rsidTr="002B5A1A">
        <w:tc>
          <w:tcPr>
            <w:tcW w:w="3114" w:type="dxa"/>
          </w:tcPr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Тендерная, таможенные гарантии; гарантия платежа, возмещения НДС, исполнения контракта, возврата авансового платежа (в т.ч. в пользу иностранных контрагентов)</w:t>
            </w:r>
          </w:p>
        </w:tc>
        <w:tc>
          <w:tcPr>
            <w:tcW w:w="5245" w:type="dxa"/>
            <w:gridSpan w:val="2"/>
          </w:tcPr>
          <w:p w:rsidR="007F00CC" w:rsidRPr="007F00CC" w:rsidRDefault="007F00CC" w:rsidP="007F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Срок банковских гарантий – до 2-х лет, в т.ч. таможенных – до 12 мес., гарантий возмещения НДС – до 9 мес.  Обеспечение – в зависимости от уровня финансового состояния: поручительство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венника, связанных компаний, за</w:t>
            </w: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лог прав требования выручки по контрактам, недвижимого имущества</w:t>
            </w:r>
          </w:p>
        </w:tc>
      </w:tr>
      <w:tr w:rsidR="007F00CC" w:rsidTr="002B5A1A">
        <w:tc>
          <w:tcPr>
            <w:tcW w:w="3114" w:type="dxa"/>
          </w:tcPr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им</w:t>
            </w: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порта (с привлечением иностранных финансовых институтов)</w:t>
            </w:r>
          </w:p>
        </w:tc>
        <w:tc>
          <w:tcPr>
            <w:tcW w:w="2551" w:type="dxa"/>
          </w:tcPr>
          <w:p w:rsidR="007F00CC" w:rsidRDefault="007F00CC" w:rsidP="007F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До 100% от стоимости импортного контракта</w:t>
            </w:r>
          </w:p>
        </w:tc>
        <w:tc>
          <w:tcPr>
            <w:tcW w:w="2694" w:type="dxa"/>
          </w:tcPr>
          <w:p w:rsidR="007F00CC" w:rsidRDefault="007F00CC" w:rsidP="007F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6350" w:type="dxa"/>
          </w:tcPr>
          <w:p w:rsidR="007F00CC" w:rsidRDefault="007F00CC" w:rsidP="007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>Срок – до 3-х лет.  График погашения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– на ежеквартальной/полу</w:t>
            </w:r>
            <w:r w:rsidRPr="007F00CC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основе или в конце срока.  Обеспечение – в зависимости от уровня финансового состояния: поручительство собственника, поручительство связанных компаний, залог приобретаемого оборудования, недвижимого имущества. </w:t>
            </w:r>
          </w:p>
        </w:tc>
      </w:tr>
    </w:tbl>
    <w:p w:rsidR="00931101" w:rsidRPr="007F00CC" w:rsidRDefault="00931101" w:rsidP="007F00CC">
      <w:pPr>
        <w:rPr>
          <w:rFonts w:ascii="Times New Roman" w:hAnsi="Times New Roman" w:cs="Times New Roman"/>
          <w:sz w:val="24"/>
          <w:szCs w:val="24"/>
        </w:rPr>
      </w:pPr>
    </w:p>
    <w:sectPr w:rsidR="00931101" w:rsidRPr="007F00CC" w:rsidSect="007F0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CC"/>
    <w:rsid w:val="002B5A1A"/>
    <w:rsid w:val="00482BEB"/>
    <w:rsid w:val="007900A5"/>
    <w:rsid w:val="007F00CC"/>
    <w:rsid w:val="00931101"/>
    <w:rsid w:val="00C41B62"/>
    <w:rsid w:val="00CE7F35"/>
    <w:rsid w:val="00D4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0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Bartyuk@dal.ro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Татьяна Захаровна</dc:creator>
  <cp:keywords/>
  <dc:description/>
  <cp:lastModifiedBy>Александр Сацук</cp:lastModifiedBy>
  <cp:revision>4</cp:revision>
  <dcterms:created xsi:type="dcterms:W3CDTF">2017-01-31T01:14:00Z</dcterms:created>
  <dcterms:modified xsi:type="dcterms:W3CDTF">2017-02-02T05:08:00Z</dcterms:modified>
</cp:coreProperties>
</file>